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3000"/>
        <w:gridCol w:w="6640"/>
      </w:tblGrid>
      <w:tr>
        <w:tc>
          <w:tcPr>
            <w:tcW w:type="dxa" w:w="3000"/>
            <w:tcBorders>
              <w:top w:val="none" w:color="FFFFFF" w:sz="0"/>
              <w:left w:val="none" w:color="FFFFFF" w:sz="0"/>
              <w:bottom w:val="none" w:color="FFFFFF" w:sz="0"/>
              <w:right w:val="none" w:color="FFFFFF" w:sz="0"/>
            </w:tcBorders>
            <w:shd w:fill="1B6F7A" w:val="clear"/>
            <w:tcMar>
              <w:top w:type="dxa" w:w="160"/>
              <w:left w:type="dxa" w:w="200"/>
              <w:bottom w:type="dxa" w:w="160"/>
              <w:right w:type="dxa" w:w="100"/>
            </w:tcMar>
          </w:tcPr>
          <w:p>
            <w:r>
              <w:rPr>
                <w:rFonts w:ascii="Arial" w:cs="Arial" w:eastAsia="Arial" w:hAnsi="Arial"/>
                <w:b/>
                <w:bCs/>
                <w:color w:val="FFFFFF"/>
                <w:sz w:val="20"/>
                <w:szCs w:val="20"/>
              </w:rPr>
              <w:t xml:space="preserve">DierenAdviesPunt</w:t>
            </w:r>
          </w:p>
        </w:tc>
        <w:tc>
          <w:tcPr>
            <w:tcW w:type="dxa" w:w="6640"/>
            <w:tcBorders>
              <w:top w:val="none" w:color="FFFFFF" w:sz="0"/>
              <w:left w:val="none" w:color="FFFFFF" w:sz="0"/>
              <w:bottom w:val="none" w:color="FFFFFF" w:sz="0"/>
              <w:right w:val="none" w:color="FFFFFF" w:sz="0"/>
            </w:tcBorders>
            <w:shd w:fill="1B6F7A" w:val="clear"/>
            <w:tcMar>
              <w:top w:type="dxa" w:w="160"/>
              <w:left w:type="dxa" w:w="100"/>
              <w:bottom w:type="dxa" w:w="160"/>
              <w:right w:type="dxa" w:w="200"/>
            </w:tcMar>
          </w:tcPr>
          <w:p>
            <w:pPr>
              <w:jc w:val="right"/>
            </w:pPr>
            <w:r>
              <w:rPr>
                <w:rFonts w:ascii="Arial" w:cs="Arial" w:eastAsia="Arial" w:hAnsi="Arial"/>
                <w:color w:val="FFFFFF"/>
                <w:sz w:val="18"/>
                <w:szCs w:val="18"/>
              </w:rPr>
              <w:t xml:space="preserve">download bij hoofdstuk 3 van Van hok naar bestuurstafel</w:t>
            </w:r>
          </w:p>
        </w:tc>
      </w:tr>
    </w:tbl>
    <w:p>
      <w:pPr>
        <w:spacing w:after="60" w:before="360"/>
      </w:pPr>
      <w:r>
        <w:rPr>
          <w:rFonts w:ascii="Arial" w:cs="Arial" w:eastAsia="Arial" w:hAnsi="Arial"/>
          <w:b/>
          <w:bCs/>
          <w:color w:val="1B6F7A"/>
          <w:sz w:val="44"/>
          <w:szCs w:val="44"/>
        </w:rPr>
        <w:t xml:space="preserve">Gespreksleidraad: rollen in het bestuur</w:t>
      </w:r>
    </w:p>
    <w:p>
      <w:pPr>
        <w:spacing w:after="200"/>
      </w:pPr>
      <w:r>
        <w:rPr>
          <w:rFonts w:ascii="Arial" w:cs="Arial" w:eastAsia="Arial" w:hAnsi="Arial"/>
          <w:color w:val="4A4A4A"/>
          <w:sz w:val="22"/>
          <w:szCs w:val="22"/>
        </w:rPr>
        <w:t xml:space="preserve">Voor een gesprek met het hele bestuur</w:t>
      </w:r>
    </w:p>
    <w:p>
      <w:pPr>
        <w:spacing w:after="120"/>
      </w:pPr>
      <w:r>
        <w:rPr>
          <w:rFonts w:ascii="Arial" w:cs="Arial" w:eastAsia="Arial" w:hAnsi="Arial"/>
          <w:b w:val="false"/>
          <w:bCs w:val="false"/>
          <w:i w:val="false"/>
          <w:iCs w:val="false"/>
          <w:sz w:val="20"/>
          <w:szCs w:val="20"/>
        </w:rPr>
        <w:t xml:space="preserve">Met deze leidraad loop je met je bestuur door wat iedereen dacht te komen doen en wat er nu werkelijk van hem of haar wordt gevraagd. Plan er een apart moment voor, geen agendapunt tussendoor. Reken op vijf kwartier tot anderhalf uur.</w:t>
      </w:r>
    </w:p>
    <w:p>
      <w:pPr>
        <w:pBdr>
          <w:bottom w:val="single" w:color="1B6F7A" w:sz="10"/>
        </w:pBdr>
        <w:spacing w:after="120" w:before="360"/>
      </w:pPr>
      <w:r>
        <w:rPr>
          <w:rFonts w:ascii="Arial" w:cs="Arial" w:eastAsia="Arial" w:hAnsi="Arial"/>
          <w:b/>
          <w:bCs/>
          <w:color w:val="1B6F7A"/>
          <w:sz w:val="26"/>
          <w:szCs w:val="26"/>
        </w:rPr>
        <w:t xml:space="preserve">Vooraf</w:t>
      </w:r>
    </w:p>
    <w:p>
      <w:pPr>
        <w:pStyle w:val="ListParagraph"/>
        <w:numPr>
          <w:ilvl w:val="0"/>
          <w:numId w:val="1"/>
        </w:numPr>
        <w:spacing w:after="60"/>
      </w:pPr>
      <w:r>
        <w:rPr>
          <w:rFonts w:ascii="Arial" w:cs="Arial" w:eastAsia="Arial" w:hAnsi="Arial"/>
          <w:sz w:val="20"/>
          <w:szCs w:val="20"/>
        </w:rPr>
        <w:t xml:space="preserve">vraag iedereen om vooraf de reflectielijst “Waar zit het gat?” voor zichzelf in te vullen;</w:t>
      </w:r>
    </w:p>
    <w:p>
      <w:pPr>
        <w:pStyle w:val="ListParagraph"/>
        <w:numPr>
          <w:ilvl w:val="0"/>
          <w:numId w:val="1"/>
        </w:numPr>
        <w:spacing w:after="60"/>
      </w:pPr>
      <w:r>
        <w:rPr>
          <w:rFonts w:ascii="Arial" w:cs="Arial" w:eastAsia="Arial" w:hAnsi="Arial"/>
          <w:sz w:val="20"/>
          <w:szCs w:val="20"/>
        </w:rPr>
        <w:t xml:space="preserve">spreek af wie het gesprek leidt en de tijd bewaakt;</w:t>
      </w:r>
    </w:p>
    <w:p>
      <w:pPr>
        <w:pStyle w:val="ListParagraph"/>
        <w:numPr>
          <w:ilvl w:val="0"/>
          <w:numId w:val="1"/>
        </w:numPr>
        <w:spacing w:after="60"/>
      </w:pPr>
      <w:r>
        <w:rPr>
          <w:rFonts w:ascii="Arial" w:cs="Arial" w:eastAsia="Arial" w:hAnsi="Arial"/>
          <w:sz w:val="20"/>
          <w:szCs w:val="20"/>
        </w:rPr>
        <w:t xml:space="preserve">loop samen de gespreksregels hieronder door voordat je begint.</w:t>
      </w:r>
    </w:p>
    <w:p>
      <w:pPr>
        <w:pBdr>
          <w:bottom w:val="single" w:color="1B6F7A" w:sz="10"/>
        </w:pBdr>
        <w:spacing w:after="120" w:before="360"/>
      </w:pPr>
      <w:r>
        <w:rPr>
          <w:rFonts w:ascii="Arial" w:cs="Arial" w:eastAsia="Arial" w:hAnsi="Arial"/>
          <w:b/>
          <w:bCs/>
          <w:color w:val="1B6F7A"/>
          <w:sz w:val="26"/>
          <w:szCs w:val="26"/>
        </w:rPr>
        <w:t xml:space="preserve">Gespreksregels</w:t>
      </w:r>
    </w:p>
    <w:p>
      <w:pPr>
        <w:pStyle w:val="ListParagraph"/>
        <w:numPr>
          <w:ilvl w:val="0"/>
          <w:numId w:val="1"/>
        </w:numPr>
        <w:spacing w:after="60"/>
      </w:pPr>
      <w:r>
        <w:rPr>
          <w:rFonts w:ascii="Arial" w:cs="Arial" w:eastAsia="Arial" w:hAnsi="Arial"/>
          <w:sz w:val="20"/>
          <w:szCs w:val="20"/>
        </w:rPr>
        <w:t xml:space="preserve">iedereen komt aan de beurt en maakt zijn of haar verhaal af; tijdens een ronde reageert niemand;</w:t>
      </w:r>
    </w:p>
    <w:p>
      <w:pPr>
        <w:pStyle w:val="ListParagraph"/>
        <w:numPr>
          <w:ilvl w:val="0"/>
          <w:numId w:val="1"/>
        </w:numPr>
        <w:spacing w:after="60"/>
      </w:pPr>
      <w:r>
        <w:rPr>
          <w:rFonts w:ascii="Arial" w:cs="Arial" w:eastAsia="Arial" w:hAnsi="Arial"/>
          <w:sz w:val="20"/>
          <w:szCs w:val="20"/>
        </w:rPr>
        <w:t xml:space="preserve">doorvragen mag, oordelen niet: eerst begrijpen, dan pas reageren;</w:t>
      </w:r>
    </w:p>
    <w:p>
      <w:pPr>
        <w:pStyle w:val="ListParagraph"/>
        <w:numPr>
          <w:ilvl w:val="0"/>
          <w:numId w:val="1"/>
        </w:numPr>
        <w:spacing w:after="60"/>
      </w:pPr>
      <w:r>
        <w:rPr>
          <w:rFonts w:ascii="Arial" w:cs="Arial" w:eastAsia="Arial" w:hAnsi="Arial"/>
          <w:sz w:val="20"/>
          <w:szCs w:val="20"/>
        </w:rPr>
        <w:t xml:space="preserve">duidelijk zijn is het vriendelijkste wat je kunt doen, ook in dit gesprek.</w:t>
      </w:r>
    </w:p>
    <w:p>
      <w:pPr>
        <w:pBdr>
          <w:bottom w:val="single" w:color="1B6F7A" w:sz="10"/>
        </w:pBdr>
        <w:spacing w:after="120" w:before="360"/>
      </w:pPr>
      <w:r>
        <w:rPr>
          <w:rFonts w:ascii="Arial" w:cs="Arial" w:eastAsia="Arial" w:hAnsi="Arial"/>
          <w:b/>
          <w:bCs/>
          <w:color w:val="1B6F7A"/>
          <w:sz w:val="26"/>
          <w:szCs w:val="26"/>
        </w:rPr>
        <w:t xml:space="preserve">Ronde 1: wat dacht je te komen doen? (circa 20 minuten)</w:t>
      </w:r>
    </w:p>
    <w:p>
      <w:pPr>
        <w:spacing w:after="120"/>
      </w:pPr>
      <w:r>
        <w:rPr>
          <w:rFonts w:ascii="Arial" w:cs="Arial" w:eastAsia="Arial" w:hAnsi="Arial"/>
          <w:b w:val="false"/>
          <w:bCs w:val="false"/>
          <w:i w:val="false"/>
          <w:iCs w:val="false"/>
          <w:sz w:val="20"/>
          <w:szCs w:val="20"/>
        </w:rPr>
        <w:t xml:space="preserve">Iedereen vertelt kort wat hij of zij dacht te komen doen bij het aantreden: welke verandering, welk beeld, welk tempo. Wie de reflectielijst heeft ingevuld, leest gewoon voor wat daar staat.</w:t>
      </w:r>
    </w:p>
    <w:p>
      <w:pPr>
        <w:spacing w:after="120"/>
      </w:pPr>
      <w:r>
        <w:rPr>
          <w:rFonts w:ascii="Arial" w:cs="Arial" w:eastAsia="Arial" w:hAnsi="Arial"/>
          <w:b/>
          <w:bCs/>
          <w:i w:val="false"/>
          <w:iCs w:val="false"/>
          <w:sz w:val="20"/>
          <w:szCs w:val="20"/>
        </w:rPr>
        <w:t xml:space="preserve">Notities:</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Ronde 2: wat wordt er nu van je gevraagd? (circa 20 minuten)</w:t>
      </w:r>
    </w:p>
    <w:p>
      <w:pPr>
        <w:spacing w:after="120"/>
      </w:pPr>
      <w:r>
        <w:rPr>
          <w:rFonts w:ascii="Arial" w:cs="Arial" w:eastAsia="Arial" w:hAnsi="Arial"/>
          <w:b w:val="false"/>
          <w:bCs w:val="false"/>
          <w:i w:val="false"/>
          <w:iCs w:val="false"/>
          <w:sz w:val="20"/>
          <w:szCs w:val="20"/>
        </w:rPr>
        <w:t xml:space="preserve">Iedereen benoemt wat de organisatie op dit moment werkelijk van hem of haar vraagt, en welke taken hij of zij doet die eigenlijk ergens anders horen.</w:t>
      </w:r>
    </w:p>
    <w:p>
      <w:pPr>
        <w:spacing w:after="120"/>
      </w:pPr>
      <w:r>
        <w:rPr>
          <w:rFonts w:ascii="Arial" w:cs="Arial" w:eastAsia="Arial" w:hAnsi="Arial"/>
          <w:b/>
          <w:bCs/>
          <w:i w:val="false"/>
          <w:iCs w:val="false"/>
          <w:sz w:val="20"/>
          <w:szCs w:val="20"/>
        </w:rPr>
        <w:t xml:space="preserve">Notities:</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Ronde 3: waar zit het gat? (circa 20 minuten)</w:t>
      </w:r>
    </w:p>
    <w:p>
      <w:pPr>
        <w:spacing w:after="120"/>
      </w:pPr>
      <w:r>
        <w:rPr>
          <w:rFonts w:ascii="Arial" w:cs="Arial" w:eastAsia="Arial" w:hAnsi="Arial"/>
          <w:b w:val="false"/>
          <w:bCs w:val="false"/>
          <w:i w:val="false"/>
          <w:iCs w:val="false"/>
          <w:sz w:val="20"/>
          <w:szCs w:val="20"/>
        </w:rPr>
        <w:t xml:space="preserve">Nu pas wordt het een gesprek. Waar zit per persoon de afstand tussen wat hij of zij kwam doen en wat er wordt gevraagd? En voor het bestuur als geheel: wat blijft er liggen omdat niemand het als zijn of haar rol ziet?</w:t>
      </w:r>
    </w:p>
    <w:p>
      <w:pPr>
        <w:spacing w:after="120"/>
      </w:pPr>
      <w:r>
        <w:rPr>
          <w:rFonts w:ascii="Arial" w:cs="Arial" w:eastAsia="Arial" w:hAnsi="Arial"/>
          <w:b/>
          <w:bCs/>
          <w:i w:val="false"/>
          <w:iCs w:val="false"/>
          <w:sz w:val="20"/>
          <w:szCs w:val="20"/>
        </w:rPr>
        <w:t xml:space="preserve">Notities:</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1B6F7A" w:sz="10"/>
        </w:pBdr>
        <w:spacing w:after="120" w:before="360"/>
      </w:pPr>
      <w:r>
        <w:rPr>
          <w:rFonts w:ascii="Arial" w:cs="Arial" w:eastAsia="Arial" w:hAnsi="Arial"/>
          <w:b/>
          <w:bCs/>
          <w:color w:val="1B6F7A"/>
          <w:sz w:val="26"/>
          <w:szCs w:val="26"/>
        </w:rPr>
        <w:t xml:space="preserve">Afspraken (circa 15 minuten)</w:t>
      </w:r>
    </w:p>
    <w:p>
      <w:pPr>
        <w:pStyle w:val="ListParagraph"/>
        <w:numPr>
          <w:ilvl w:val="0"/>
          <w:numId w:val="1"/>
        </w:numPr>
        <w:spacing w:after="60"/>
      </w:pPr>
      <w:r>
        <w:rPr>
          <w:rFonts w:ascii="Arial" w:cs="Arial" w:eastAsia="Arial" w:hAnsi="Arial"/>
          <w:sz w:val="20"/>
          <w:szCs w:val="20"/>
        </w:rPr>
        <w:t xml:space="preserve">welke taken verschuiven er, en naar wie;</w:t>
      </w:r>
    </w:p>
    <w:p>
      <w:pPr>
        <w:pStyle w:val="ListParagraph"/>
        <w:numPr>
          <w:ilvl w:val="0"/>
          <w:numId w:val="1"/>
        </w:numPr>
        <w:spacing w:after="60"/>
      </w:pPr>
      <w:r>
        <w:rPr>
          <w:rFonts w:ascii="Arial" w:cs="Arial" w:eastAsia="Arial" w:hAnsi="Arial"/>
          <w:sz w:val="20"/>
          <w:szCs w:val="20"/>
        </w:rPr>
        <w:t xml:space="preserve">wat spreken we af over tempo: wat pakken we nu op en wat bewust nog niet;</w:t>
      </w:r>
    </w:p>
    <w:p>
      <w:pPr>
        <w:pStyle w:val="ListParagraph"/>
        <w:numPr>
          <w:ilvl w:val="0"/>
          <w:numId w:val="1"/>
        </w:numPr>
        <w:spacing w:after="60"/>
      </w:pPr>
      <w:r>
        <w:rPr>
          <w:rFonts w:ascii="Arial" w:cs="Arial" w:eastAsia="Arial" w:hAnsi="Arial"/>
          <w:sz w:val="20"/>
          <w:szCs w:val="20"/>
        </w:rPr>
        <w:t xml:space="preserve">wanneer kijken we hier opnieuw naar: zet het over drie maanden op de agenda.</w:t>
      </w:r>
    </w:p>
    <w:p>
      <w:pPr>
        <w:spacing w:after="120"/>
      </w:pPr>
      <w:r>
        <w:rPr>
          <w:rFonts w:ascii="Arial" w:cs="Arial" w:eastAsia="Arial" w:hAnsi="Arial"/>
          <w:b/>
          <w:bCs/>
          <w:i w:val="false"/>
          <w:iCs w:val="false"/>
          <w:sz w:val="20"/>
          <w:szCs w:val="20"/>
        </w:rPr>
        <w:t xml:space="preserve">Afspraken (wie doet wat, en vanaf wanneer):</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pBdr>
          <w:bottom w:val="single" w:color="AFC9CC" w:sz="4"/>
        </w:pBdr>
        <w:spacing w:after="60" w:line="360"/>
      </w:pPr>
      <w:r>
        <w:rPr>
          <w:rFonts w:ascii="Arial" w:cs="Arial" w:eastAsia="Arial" w:hAnsi="Arial"/>
          <w:sz w:val="20"/>
          <w:szCs w:val="20"/>
        </w:rPr>
        <w:t xml:space="preserve"> </w:t>
      </w:r>
    </w:p>
    <w:p>
      <w:pPr>
        <w:spacing w:before="360"/>
      </w:pP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9640"/>
      </w:tblGrid>
      <w:tr>
        <w:tc>
          <w:tcPr>
            <w:tcW w:type="dxa" w:w="9640"/>
            <w:tcBorders>
              <w:top w:val="none" w:color="FFFFFF" w:sz="0"/>
              <w:left w:val="single" w:color="1B6F7A" w:sz="24"/>
              <w:bottom w:val="none" w:color="FFFFFF" w:sz="0"/>
              <w:right w:val="none" w:color="FFFFFF" w:sz="0"/>
            </w:tcBorders>
            <w:shd w:fill="EAF2F3" w:val="clear"/>
            <w:tcMar>
              <w:top w:type="dxa" w:w="200"/>
              <w:left w:type="dxa" w:w="240"/>
              <w:bottom w:type="dxa" w:w="200"/>
              <w:right w:type="dxa" w:w="240"/>
            </w:tcMar>
          </w:tcPr>
          <w:p>
            <w:pPr>
              <w:spacing w:after="100"/>
            </w:pPr>
            <w:r>
              <w:rPr>
                <w:rFonts w:ascii="Arial" w:cs="Arial" w:eastAsia="Arial" w:hAnsi="Arial"/>
                <w:sz w:val="20"/>
                <w:szCs w:val="20"/>
              </w:rPr>
              <w:t xml:space="preserve">Niet alles hoeft in dit ene gesprek opgelost. Dat het gat benoemd is en op tafel ligt, is al de helft van het werk. Voer de moeilijke gesprekken die eruit volgen daarna een voor een, niet in de groep.</w:t>
            </w:r>
          </w:p>
          <w:p>
            <w:r>
              <w:rPr>
                <w:rFonts w:ascii="Arial" w:cs="Arial" w:eastAsia="Arial" w:hAnsi="Arial"/>
                <w:b/>
                <w:bCs/>
                <w:color w:val="1B6F7A"/>
                <w:sz w:val="20"/>
                <w:szCs w:val="20"/>
              </w:rPr>
              <w:t xml:space="preserve">Dit is hoofdstuk 3 van Van hok naar bestuurstafel.</w:t>
            </w:r>
          </w:p>
        </w:tc>
      </w:tr>
    </w:tbl>
    <w:sectPr>
      <w:footerReference w:type="default" r:id="rId7"/>
      <w:pgSz w:w="11906" w:h="16838" w:orient="portrait"/>
      <w:pgMar w:top="700" w:right="850" w:bottom="9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FC9CC" w:sz="4"/>
      </w:pBdr>
      <w:tabs>
        <w:tab w:val="right" w:pos="9640"/>
      </w:tabs>
    </w:pPr>
    <w:r>
      <w:rPr>
        <w:rFonts w:ascii="Arial" w:cs="Arial" w:eastAsia="Arial" w:hAnsi="Arial"/>
        <w:color w:val="4A4A4A"/>
        <w:sz w:val="16"/>
        <w:szCs w:val="16"/>
      </w:rPr>
      <w:t xml:space="preserve">dierenadviespunt.nl/rol-in-bestuur</w:t>
    </w:r>
    <w:r>
      <w:rPr>
        <w:rFonts w:ascii="Arial" w:cs="Arial" w:eastAsia="Arial" w:hAnsi="Arial"/>
        <w:sz w:val="16"/>
        <w:szCs w:val="16"/>
      </w:rPr>
      <w:t xml:space="preserve">	</w:t>
    </w:r>
    <w:r>
      <w:rPr>
        <w:rFonts w:ascii="Arial" w:cs="Arial" w:eastAsia="Arial" w:hAnsi="Arial"/>
        <w:color w:val="4A4A4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2026-07-15T17:21:12.986Z</dcterms:created>
  <dcterms:modified xsi:type="dcterms:W3CDTF">2026-07-15T17:21:12.986Z</dcterms:modified>
</cp:coreProperties>
</file>

<file path=docProps/custom.xml><?xml version="1.0" encoding="utf-8"?>
<Properties xmlns="http://schemas.openxmlformats.org/officeDocument/2006/custom-properties" xmlns:vt="http://schemas.openxmlformats.org/officeDocument/2006/docPropsVTypes"/>
</file>