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9 van Van hok naar bestuurstafel</w:t>
            </w:r>
          </w:p>
        </w:tc>
      </w:tr>
    </w:tbl>
    <w:p>
      <w:pPr>
        <w:spacing w:after="100" w:before="480"/>
      </w:pPr>
      <w:r>
        <w:rPr>
          <w:rFonts w:ascii="Arial" w:cs="Arial" w:eastAsia="Arial" w:hAnsi="Arial"/>
          <w:b/>
          <w:bCs/>
          <w:color w:val="1B6F7A"/>
          <w:sz w:val="36"/>
          <w:szCs w:val="36"/>
        </w:rPr>
        <w:t xml:space="preserve">Voorbeeld directiereglement</w:t>
      </w:r>
    </w:p>
    <w:p>
      <w:pPr>
        <w:spacing w:after="100"/>
      </w:pPr>
      <w:r>
        <w:rPr>
          <w:rFonts w:ascii="Arial" w:cs="Arial" w:eastAsia="Arial" w:hAnsi="Arial"/>
          <w:i/>
          <w:iCs/>
          <w:color w:val="333333"/>
          <w:sz w:val="21"/>
          <w:szCs w:val="21"/>
        </w:rPr>
        <w:t xml:space="preserve">Dit voorbeeld is een vertrekpunt van DierenAdviesPunt. Pas het aan aan je eigen organisatie en statuten, vul de open plekken in en laat het geheel controleren door een notaris of jurist voordat het bestuur of de Raad van Toezicht het vaststelt. De term “toezichthoudend orgaan” staat in dit voorbeeld voor de Raad van Toezicht, of voor het bestuur wanneer de dagelijkse leiding bij een beheerder of manager ligt.</w:t>
      </w:r>
    </w:p>
    <w:p>
      <w:pPr>
        <w:spacing w:after="80" w:before="300"/>
      </w:pPr>
      <w:r>
        <w:rPr>
          <w:rFonts w:ascii="Arial" w:cs="Arial" w:eastAsia="Arial" w:hAnsi="Arial"/>
          <w:b/>
          <w:bCs/>
          <w:color w:val="1B6F7A"/>
          <w:sz w:val="23"/>
          <w:szCs w:val="23"/>
        </w:rPr>
        <w:t xml:space="preserve">Artikel 1. Begripsbepalingen</w:t>
      </w:r>
    </w:p>
    <w:p>
      <w:pPr>
        <w:spacing w:after="100"/>
      </w:pPr>
      <w:r>
        <w:rPr>
          <w:rFonts w:ascii="Arial" w:cs="Arial" w:eastAsia="Arial" w:hAnsi="Arial"/>
          <w:color w:val="333333"/>
          <w:sz w:val="21"/>
          <w:szCs w:val="21"/>
        </w:rPr>
        <w:t xml:space="preserve">In dit reglement wordt verstaan onder:</w:t>
      </w:r>
    </w:p>
    <w:p>
      <w:pPr>
        <w:pStyle w:val="ListParagraph"/>
        <w:numPr>
          <w:ilvl w:val="0"/>
          <w:numId w:val="2"/>
        </w:numPr>
        <w:spacing w:after="60"/>
      </w:pPr>
      <w:r>
        <w:rPr>
          <w:rFonts w:ascii="Arial" w:cs="Arial" w:eastAsia="Arial" w:hAnsi="Arial"/>
          <w:color w:val="333333"/>
          <w:sz w:val="21"/>
          <w:szCs w:val="21"/>
        </w:rPr>
        <w:t xml:space="preserve">stichting: Stichting [naam], gevestigd te [plaats], ingeschreven bij de Kamer van Koophandel onder nummer [nummer];</w:t>
      </w:r>
    </w:p>
    <w:p>
      <w:pPr>
        <w:pStyle w:val="ListParagraph"/>
        <w:numPr>
          <w:ilvl w:val="0"/>
          <w:numId w:val="2"/>
        </w:numPr>
        <w:spacing w:after="60"/>
      </w:pPr>
      <w:r>
        <w:rPr>
          <w:rFonts w:ascii="Arial" w:cs="Arial" w:eastAsia="Arial" w:hAnsi="Arial"/>
          <w:color w:val="333333"/>
          <w:sz w:val="21"/>
          <w:szCs w:val="21"/>
        </w:rPr>
        <w:t xml:space="preserve">directeur: degene die is belast met de dagelijkse leiding van de stichting, zoals bedoeld in artikel [x] van de statuten;</w:t>
      </w:r>
    </w:p>
    <w:p>
      <w:pPr>
        <w:pStyle w:val="ListParagraph"/>
        <w:numPr>
          <w:ilvl w:val="0"/>
          <w:numId w:val="2"/>
        </w:numPr>
        <w:spacing w:after="60"/>
      </w:pPr>
      <w:r>
        <w:rPr>
          <w:rFonts w:ascii="Arial" w:cs="Arial" w:eastAsia="Arial" w:hAnsi="Arial"/>
          <w:color w:val="333333"/>
          <w:sz w:val="21"/>
          <w:szCs w:val="21"/>
        </w:rPr>
        <w:t xml:space="preserve">toezichthoudend orgaan: de Raad van Toezicht dan wel het bestuur van de stichting;</w:t>
      </w:r>
    </w:p>
    <w:p>
      <w:pPr>
        <w:pStyle w:val="ListParagraph"/>
        <w:numPr>
          <w:ilvl w:val="0"/>
          <w:numId w:val="2"/>
        </w:numPr>
        <w:spacing w:after="60"/>
      </w:pPr>
      <w:r>
        <w:rPr>
          <w:rFonts w:ascii="Arial" w:cs="Arial" w:eastAsia="Arial" w:hAnsi="Arial"/>
          <w:color w:val="333333"/>
          <w:sz w:val="21"/>
          <w:szCs w:val="21"/>
        </w:rPr>
        <w:t xml:space="preserve">statuten: de statuten van de stichting zoals laatstelijk vastgesteld op [datum].</w:t>
      </w:r>
    </w:p>
    <w:p>
      <w:pPr>
        <w:spacing w:after="80" w:before="300"/>
      </w:pPr>
      <w:r>
        <w:rPr>
          <w:rFonts w:ascii="Arial" w:cs="Arial" w:eastAsia="Arial" w:hAnsi="Arial"/>
          <w:b/>
          <w:bCs/>
          <w:color w:val="1B6F7A"/>
          <w:sz w:val="23"/>
          <w:szCs w:val="23"/>
        </w:rPr>
        <w:t xml:space="preserve">Artikel 2. Status van dit reglement</w:t>
      </w:r>
    </w:p>
    <w:p>
      <w:pPr>
        <w:spacing w:after="100"/>
      </w:pPr>
      <w:r>
        <w:rPr>
          <w:rFonts w:ascii="Arial" w:cs="Arial" w:eastAsia="Arial" w:hAnsi="Arial"/>
          <w:color w:val="333333"/>
          <w:sz w:val="21"/>
          <w:szCs w:val="21"/>
        </w:rPr>
        <w:t xml:space="preserve">1. Dit reglement is een aanvulling op de statuten en op de wet. Bij strijdigheid gaan de wet en de statuten voor.</w:t>
      </w:r>
    </w:p>
    <w:p>
      <w:pPr>
        <w:spacing w:after="100"/>
      </w:pPr>
      <w:r>
        <w:rPr>
          <w:rFonts w:ascii="Arial" w:cs="Arial" w:eastAsia="Arial" w:hAnsi="Arial"/>
          <w:color w:val="333333"/>
          <w:sz w:val="21"/>
          <w:szCs w:val="21"/>
        </w:rPr>
        <w:t xml:space="preserve">2. Dit reglement is vastgesteld door het toezichthoudend orgaan op [datum] en kan door het toezichthoudend orgaan worden gewijzigd, na overleg met de directeur.</w:t>
      </w:r>
    </w:p>
    <w:p>
      <w:pPr>
        <w:spacing w:after="80" w:before="300"/>
      </w:pPr>
      <w:r>
        <w:rPr>
          <w:rFonts w:ascii="Arial" w:cs="Arial" w:eastAsia="Arial" w:hAnsi="Arial"/>
          <w:b/>
          <w:bCs/>
          <w:color w:val="1B6F7A"/>
          <w:sz w:val="23"/>
          <w:szCs w:val="23"/>
        </w:rPr>
        <w:t xml:space="preserve">Artikel 3. Taken van de directeur</w:t>
      </w:r>
    </w:p>
    <w:p>
      <w:pPr>
        <w:spacing w:after="100"/>
      </w:pPr>
      <w:r>
        <w:rPr>
          <w:rFonts w:ascii="Arial" w:cs="Arial" w:eastAsia="Arial" w:hAnsi="Arial"/>
          <w:color w:val="333333"/>
          <w:sz w:val="21"/>
          <w:szCs w:val="21"/>
        </w:rPr>
        <w:t xml:space="preserve">1. De directeur is belast met de dagelijkse leiding van de stichting, waaronder in ieder geval:</w:t>
      </w:r>
    </w:p>
    <w:p>
      <w:pPr>
        <w:pStyle w:val="ListParagraph"/>
        <w:numPr>
          <w:ilvl w:val="0"/>
          <w:numId w:val="2"/>
        </w:numPr>
        <w:spacing w:after="60"/>
      </w:pPr>
      <w:r>
        <w:rPr>
          <w:rFonts w:ascii="Arial" w:cs="Arial" w:eastAsia="Arial" w:hAnsi="Arial"/>
          <w:color w:val="333333"/>
          <w:sz w:val="21"/>
          <w:szCs w:val="21"/>
        </w:rPr>
        <w:t xml:space="preserve">de uitvoering van het door het toezichthoudend orgaan goedgekeurde beleidsplan en de begroting;</w:t>
      </w:r>
    </w:p>
    <w:p>
      <w:pPr>
        <w:pStyle w:val="ListParagraph"/>
        <w:numPr>
          <w:ilvl w:val="0"/>
          <w:numId w:val="2"/>
        </w:numPr>
        <w:spacing w:after="60"/>
      </w:pPr>
      <w:r>
        <w:rPr>
          <w:rFonts w:ascii="Arial" w:cs="Arial" w:eastAsia="Arial" w:hAnsi="Arial"/>
          <w:color w:val="333333"/>
          <w:sz w:val="21"/>
          <w:szCs w:val="21"/>
        </w:rPr>
        <w:t xml:space="preserve">de aansturing van medewerkers en vrijwilligers;</w:t>
      </w:r>
    </w:p>
    <w:p>
      <w:pPr>
        <w:pStyle w:val="ListParagraph"/>
        <w:numPr>
          <w:ilvl w:val="0"/>
          <w:numId w:val="2"/>
        </w:numPr>
        <w:spacing w:after="60"/>
      </w:pPr>
      <w:r>
        <w:rPr>
          <w:rFonts w:ascii="Arial" w:cs="Arial" w:eastAsia="Arial" w:hAnsi="Arial"/>
          <w:color w:val="333333"/>
          <w:sz w:val="21"/>
          <w:szCs w:val="21"/>
        </w:rPr>
        <w:t xml:space="preserve">de dagelijkse zorg voor de opgevangen dieren en de kwaliteit van die zorg;</w:t>
      </w:r>
    </w:p>
    <w:p>
      <w:pPr>
        <w:pStyle w:val="ListParagraph"/>
        <w:numPr>
          <w:ilvl w:val="0"/>
          <w:numId w:val="2"/>
        </w:numPr>
        <w:spacing w:after="60"/>
      </w:pPr>
      <w:r>
        <w:rPr>
          <w:rFonts w:ascii="Arial" w:cs="Arial" w:eastAsia="Arial" w:hAnsi="Arial"/>
          <w:color w:val="333333"/>
          <w:sz w:val="21"/>
          <w:szCs w:val="21"/>
        </w:rPr>
        <w:t xml:space="preserve">het onderhouden van contacten met gemeenten, samenwerkingspartners en andere externe partijen;</w:t>
      </w:r>
    </w:p>
    <w:p>
      <w:pPr>
        <w:pStyle w:val="ListParagraph"/>
        <w:numPr>
          <w:ilvl w:val="0"/>
          <w:numId w:val="2"/>
        </w:numPr>
        <w:spacing w:after="60"/>
      </w:pPr>
      <w:r>
        <w:rPr>
          <w:rFonts w:ascii="Arial" w:cs="Arial" w:eastAsia="Arial" w:hAnsi="Arial"/>
          <w:color w:val="333333"/>
          <w:sz w:val="21"/>
          <w:szCs w:val="21"/>
        </w:rPr>
        <w:t xml:space="preserve">de zorg voor naleving van wet- en regelgeving binnen de organisatie.</w:t>
      </w:r>
    </w:p>
    <w:p>
      <w:pPr>
        <w:spacing w:after="100"/>
      </w:pPr>
      <w:r>
        <w:rPr>
          <w:rFonts w:ascii="Arial" w:cs="Arial" w:eastAsia="Arial" w:hAnsi="Arial"/>
          <w:color w:val="333333"/>
          <w:sz w:val="21"/>
          <w:szCs w:val="21"/>
        </w:rPr>
        <w:t xml:space="preserve">2. De directeur vertegenwoordigt de stichting voor zover de statuten dat bepalen.</w:t>
      </w:r>
    </w:p>
    <w:p>
      <w:pPr>
        <w:spacing w:after="80" w:before="300"/>
      </w:pPr>
      <w:r>
        <w:rPr>
          <w:rFonts w:ascii="Arial" w:cs="Arial" w:eastAsia="Arial" w:hAnsi="Arial"/>
          <w:b/>
          <w:bCs/>
          <w:color w:val="1B6F7A"/>
          <w:sz w:val="23"/>
          <w:szCs w:val="23"/>
        </w:rPr>
        <w:t xml:space="preserve">Artikel 4. Besluiten die de directeur zelfstandig neemt</w:t>
      </w:r>
    </w:p>
    <w:p>
      <w:pPr>
        <w:spacing w:after="100"/>
      </w:pPr>
      <w:r>
        <w:rPr>
          <w:rFonts w:ascii="Arial" w:cs="Arial" w:eastAsia="Arial" w:hAnsi="Arial"/>
          <w:color w:val="333333"/>
          <w:sz w:val="21"/>
          <w:szCs w:val="21"/>
        </w:rPr>
        <w:t xml:space="preserve">De directeur besluit zelfstandig, zonder voorafgaand overleg, over:</w:t>
      </w:r>
    </w:p>
    <w:p>
      <w:pPr>
        <w:pStyle w:val="ListParagraph"/>
        <w:numPr>
          <w:ilvl w:val="0"/>
          <w:numId w:val="2"/>
        </w:numPr>
        <w:spacing w:after="60"/>
      </w:pPr>
      <w:r>
        <w:rPr>
          <w:rFonts w:ascii="Arial" w:cs="Arial" w:eastAsia="Arial" w:hAnsi="Arial"/>
          <w:color w:val="333333"/>
          <w:sz w:val="21"/>
          <w:szCs w:val="21"/>
        </w:rPr>
        <w:t xml:space="preserve">de dagelijkse gang van zaken binnen de organisatie;</w:t>
      </w:r>
    </w:p>
    <w:p>
      <w:pPr>
        <w:pStyle w:val="ListParagraph"/>
        <w:numPr>
          <w:ilvl w:val="0"/>
          <w:numId w:val="2"/>
        </w:numPr>
        <w:spacing w:after="60"/>
      </w:pPr>
      <w:r>
        <w:rPr>
          <w:rFonts w:ascii="Arial" w:cs="Arial" w:eastAsia="Arial" w:hAnsi="Arial"/>
          <w:color w:val="333333"/>
          <w:sz w:val="21"/>
          <w:szCs w:val="21"/>
        </w:rPr>
        <w:t xml:space="preserve">uitgaven binnen de vastgestelde begroting tot een bedrag van € [bedrag] per verplichting;</w:t>
      </w:r>
    </w:p>
    <w:p>
      <w:pPr>
        <w:pStyle w:val="ListParagraph"/>
        <w:numPr>
          <w:ilvl w:val="0"/>
          <w:numId w:val="2"/>
        </w:numPr>
        <w:spacing w:after="60"/>
      </w:pPr>
      <w:r>
        <w:rPr>
          <w:rFonts w:ascii="Arial" w:cs="Arial" w:eastAsia="Arial" w:hAnsi="Arial"/>
          <w:color w:val="333333"/>
          <w:sz w:val="21"/>
          <w:szCs w:val="21"/>
        </w:rPr>
        <w:t xml:space="preserve">het werven, plaatsen en begeleiden van vrijwilligers;</w:t>
      </w:r>
    </w:p>
    <w:p>
      <w:pPr>
        <w:pStyle w:val="ListParagraph"/>
        <w:numPr>
          <w:ilvl w:val="0"/>
          <w:numId w:val="2"/>
        </w:numPr>
        <w:spacing w:after="60"/>
      </w:pPr>
      <w:r>
        <w:rPr>
          <w:rFonts w:ascii="Arial" w:cs="Arial" w:eastAsia="Arial" w:hAnsi="Arial"/>
          <w:color w:val="333333"/>
          <w:sz w:val="21"/>
          <w:szCs w:val="21"/>
        </w:rPr>
        <w:t xml:space="preserve">de werkroosters en de inzet van mensen en middelen;</w:t>
      </w:r>
    </w:p>
    <w:p>
      <w:pPr>
        <w:pStyle w:val="ListParagraph"/>
        <w:numPr>
          <w:ilvl w:val="0"/>
          <w:numId w:val="2"/>
        </w:numPr>
        <w:spacing w:after="60"/>
      </w:pPr>
      <w:r>
        <w:rPr>
          <w:rFonts w:ascii="Arial" w:cs="Arial" w:eastAsia="Arial" w:hAnsi="Arial"/>
          <w:color w:val="333333"/>
          <w:sz w:val="21"/>
          <w:szCs w:val="21"/>
        </w:rPr>
        <w:t xml:space="preserve">het aangaan van verplichtingen die voortvloeien uit de reguliere bedrijfsvoering, zoals inkoop van voer en medische zorg, binnen de begroting.</w:t>
      </w:r>
    </w:p>
    <w:p>
      <w:pPr>
        <w:spacing w:after="80" w:before="300"/>
      </w:pPr>
      <w:r>
        <w:rPr>
          <w:rFonts w:ascii="Arial" w:cs="Arial" w:eastAsia="Arial" w:hAnsi="Arial"/>
          <w:b/>
          <w:bCs/>
          <w:color w:val="1B6F7A"/>
          <w:sz w:val="23"/>
          <w:szCs w:val="23"/>
        </w:rPr>
        <w:t xml:space="preserve">Artikel 5. Besluiten die de directeur achteraf meldt</w:t>
      </w:r>
    </w:p>
    <w:p>
      <w:pPr>
        <w:spacing w:after="100"/>
      </w:pPr>
      <w:r>
        <w:rPr>
          <w:rFonts w:ascii="Arial" w:cs="Arial" w:eastAsia="Arial" w:hAnsi="Arial"/>
          <w:color w:val="333333"/>
          <w:sz w:val="21"/>
          <w:szCs w:val="21"/>
        </w:rPr>
        <w:t xml:space="preserve">De directeur besluit zelfstandig, maar informeert het toezichthoudend orgaan in de eerstvolgende rapportage over:</w:t>
      </w:r>
    </w:p>
    <w:p>
      <w:pPr>
        <w:pStyle w:val="ListParagraph"/>
        <w:numPr>
          <w:ilvl w:val="0"/>
          <w:numId w:val="2"/>
        </w:numPr>
        <w:spacing w:after="60"/>
      </w:pPr>
      <w:r>
        <w:rPr>
          <w:rFonts w:ascii="Arial" w:cs="Arial" w:eastAsia="Arial" w:hAnsi="Arial"/>
          <w:color w:val="333333"/>
          <w:sz w:val="21"/>
          <w:szCs w:val="21"/>
        </w:rPr>
        <w:t xml:space="preserve">uitgaven binnen de begroting tussen € [bedrag] en € [bedrag] per verplichting;</w:t>
      </w:r>
    </w:p>
    <w:p>
      <w:pPr>
        <w:pStyle w:val="ListParagraph"/>
        <w:numPr>
          <w:ilvl w:val="0"/>
          <w:numId w:val="2"/>
        </w:numPr>
        <w:spacing w:after="60"/>
      </w:pPr>
      <w:r>
        <w:rPr>
          <w:rFonts w:ascii="Arial" w:cs="Arial" w:eastAsia="Arial" w:hAnsi="Arial"/>
          <w:color w:val="333333"/>
          <w:sz w:val="21"/>
          <w:szCs w:val="21"/>
        </w:rPr>
        <w:t xml:space="preserve">het aannemen van nieuwe vrijwilligers in coördinerende rollen;</w:t>
      </w:r>
    </w:p>
    <w:p>
      <w:pPr>
        <w:pStyle w:val="ListParagraph"/>
        <w:numPr>
          <w:ilvl w:val="0"/>
          <w:numId w:val="2"/>
        </w:numPr>
        <w:spacing w:after="60"/>
      </w:pPr>
      <w:r>
        <w:rPr>
          <w:rFonts w:ascii="Arial" w:cs="Arial" w:eastAsia="Arial" w:hAnsi="Arial"/>
          <w:color w:val="333333"/>
          <w:sz w:val="21"/>
          <w:szCs w:val="21"/>
        </w:rPr>
        <w:t xml:space="preserve">afwijkingen van het jaarplan die geen gevolgen hebben voor de begroting;</w:t>
      </w:r>
    </w:p>
    <w:p>
      <w:pPr>
        <w:pStyle w:val="ListParagraph"/>
        <w:numPr>
          <w:ilvl w:val="0"/>
          <w:numId w:val="2"/>
        </w:numPr>
        <w:spacing w:after="60"/>
      </w:pPr>
      <w:r>
        <w:rPr>
          <w:rFonts w:ascii="Arial" w:cs="Arial" w:eastAsia="Arial" w:hAnsi="Arial"/>
          <w:color w:val="333333"/>
          <w:sz w:val="21"/>
          <w:szCs w:val="21"/>
        </w:rPr>
        <w:t xml:space="preserve">incidenten met dieren, medewerkers of vrijwilligers die zijn afgehandeld volgens de daarvoor geldende afspraken.</w:t>
      </w:r>
    </w:p>
    <w:p>
      <w:pPr>
        <w:spacing w:after="80" w:before="300"/>
      </w:pPr>
      <w:r>
        <w:rPr>
          <w:rFonts w:ascii="Arial" w:cs="Arial" w:eastAsia="Arial" w:hAnsi="Arial"/>
          <w:b/>
          <w:bCs/>
          <w:color w:val="1B6F7A"/>
          <w:sz w:val="23"/>
          <w:szCs w:val="23"/>
        </w:rPr>
        <w:t xml:space="preserve">Artikel 6. Besluiten die voorafgaande goedkeuring vereisen</w:t>
      </w:r>
    </w:p>
    <w:p>
      <w:pPr>
        <w:spacing w:after="100"/>
      </w:pPr>
      <w:r>
        <w:rPr>
          <w:rFonts w:ascii="Arial" w:cs="Arial" w:eastAsia="Arial" w:hAnsi="Arial"/>
          <w:color w:val="333333"/>
          <w:sz w:val="21"/>
          <w:szCs w:val="21"/>
        </w:rPr>
        <w:t xml:space="preserve">De directeur legt de volgende besluiten vooraf ter goedkeuring voor aan het toezichthoudend orgaan:</w:t>
      </w:r>
    </w:p>
    <w:p>
      <w:pPr>
        <w:pStyle w:val="ListParagraph"/>
        <w:numPr>
          <w:ilvl w:val="0"/>
          <w:numId w:val="2"/>
        </w:numPr>
        <w:spacing w:after="60"/>
      </w:pPr>
      <w:r>
        <w:rPr>
          <w:rFonts w:ascii="Arial" w:cs="Arial" w:eastAsia="Arial" w:hAnsi="Arial"/>
          <w:color w:val="333333"/>
          <w:sz w:val="21"/>
          <w:szCs w:val="21"/>
        </w:rPr>
        <w:t xml:space="preserve">uitgaven of verplichtingen boven € [bedrag], of buiten de vastgestelde begroting;</w:t>
      </w:r>
    </w:p>
    <w:p>
      <w:pPr>
        <w:pStyle w:val="ListParagraph"/>
        <w:numPr>
          <w:ilvl w:val="0"/>
          <w:numId w:val="2"/>
        </w:numPr>
        <w:spacing w:after="60"/>
      </w:pPr>
      <w:r>
        <w:rPr>
          <w:rFonts w:ascii="Arial" w:cs="Arial" w:eastAsia="Arial" w:hAnsi="Arial"/>
          <w:color w:val="333333"/>
          <w:sz w:val="21"/>
          <w:szCs w:val="21"/>
        </w:rPr>
        <w:t xml:space="preserve">het aangaan, wijzigen of beëindigen van arbeidsovereenkomsten;</w:t>
      </w:r>
    </w:p>
    <w:p>
      <w:pPr>
        <w:pStyle w:val="ListParagraph"/>
        <w:numPr>
          <w:ilvl w:val="0"/>
          <w:numId w:val="2"/>
        </w:numPr>
        <w:spacing w:after="60"/>
      </w:pPr>
      <w:r>
        <w:rPr>
          <w:rFonts w:ascii="Arial" w:cs="Arial" w:eastAsia="Arial" w:hAnsi="Arial"/>
          <w:color w:val="333333"/>
          <w:sz w:val="21"/>
          <w:szCs w:val="21"/>
        </w:rPr>
        <w:t xml:space="preserve">het aangaan of beëindigen van overeenkomsten met gemeenten en andere structurele samenwerkingspartners;</w:t>
      </w:r>
    </w:p>
    <w:p>
      <w:pPr>
        <w:pStyle w:val="ListParagraph"/>
        <w:numPr>
          <w:ilvl w:val="0"/>
          <w:numId w:val="2"/>
        </w:numPr>
        <w:spacing w:after="60"/>
      </w:pPr>
      <w:r>
        <w:rPr>
          <w:rFonts w:ascii="Arial" w:cs="Arial" w:eastAsia="Arial" w:hAnsi="Arial"/>
          <w:color w:val="333333"/>
          <w:sz w:val="21"/>
          <w:szCs w:val="21"/>
        </w:rPr>
        <w:t xml:space="preserve">het aangaan van leningen, huur- of koopovereenkomsten met betrekking tot onroerend goed;</w:t>
      </w:r>
    </w:p>
    <w:p>
      <w:pPr>
        <w:pStyle w:val="ListParagraph"/>
        <w:numPr>
          <w:ilvl w:val="0"/>
          <w:numId w:val="2"/>
        </w:numPr>
        <w:spacing w:after="60"/>
      </w:pPr>
      <w:r>
        <w:rPr>
          <w:rFonts w:ascii="Arial" w:cs="Arial" w:eastAsia="Arial" w:hAnsi="Arial"/>
          <w:color w:val="333333"/>
          <w:sz w:val="21"/>
          <w:szCs w:val="21"/>
        </w:rPr>
        <w:t xml:space="preserve">het vaststellen of wijzigen van het beleidsplan en de begroting;</w:t>
      </w:r>
    </w:p>
    <w:p>
      <w:pPr>
        <w:pStyle w:val="ListParagraph"/>
        <w:numPr>
          <w:ilvl w:val="0"/>
          <w:numId w:val="2"/>
        </w:numPr>
        <w:spacing w:after="60"/>
      </w:pPr>
      <w:r>
        <w:rPr>
          <w:rFonts w:ascii="Arial" w:cs="Arial" w:eastAsia="Arial" w:hAnsi="Arial"/>
          <w:color w:val="333333"/>
          <w:sz w:val="21"/>
          <w:szCs w:val="21"/>
        </w:rPr>
        <w:t xml:space="preserve">het voeren van juridische procedures, met uitzondering van incassomaatregelen binnen de reguliere bedrijfsvoering;</w:t>
      </w:r>
    </w:p>
    <w:p>
      <w:pPr>
        <w:pStyle w:val="ListParagraph"/>
        <w:numPr>
          <w:ilvl w:val="0"/>
          <w:numId w:val="2"/>
        </w:numPr>
        <w:spacing w:after="60"/>
      </w:pPr>
      <w:r>
        <w:rPr>
          <w:rFonts w:ascii="Arial" w:cs="Arial" w:eastAsia="Arial" w:hAnsi="Arial"/>
          <w:color w:val="333333"/>
          <w:sz w:val="21"/>
          <w:szCs w:val="21"/>
        </w:rPr>
        <w:t xml:space="preserve">besluiten met aanzienlijke gevolgen voor de reputatie of de continuïteit van de stichting.</w:t>
      </w:r>
    </w:p>
    <w:p>
      <w:pPr>
        <w:spacing w:after="80" w:before="300"/>
      </w:pPr>
      <w:r>
        <w:rPr>
          <w:rFonts w:ascii="Arial" w:cs="Arial" w:eastAsia="Arial" w:hAnsi="Arial"/>
          <w:b/>
          <w:bCs/>
          <w:color w:val="1B6F7A"/>
          <w:sz w:val="23"/>
          <w:szCs w:val="23"/>
        </w:rPr>
        <w:t xml:space="preserve">Artikel 7. Informatie en verantwoording</w:t>
      </w:r>
    </w:p>
    <w:p>
      <w:pPr>
        <w:spacing w:after="100"/>
      </w:pPr>
      <w:r>
        <w:rPr>
          <w:rFonts w:ascii="Arial" w:cs="Arial" w:eastAsia="Arial" w:hAnsi="Arial"/>
          <w:color w:val="333333"/>
          <w:sz w:val="21"/>
          <w:szCs w:val="21"/>
        </w:rPr>
        <w:t xml:space="preserve">1. De directeur en het toezichthoudend orgaan spreken jaarlijks een vergaderritme af, met daarin per vergadering de documenten die de directeur aanlevert, zoals de jaarrekening, het jaarverslag, de begroting, een voortgangsrapportage en een risico-inventarisatie.</w:t>
      </w:r>
    </w:p>
    <w:p>
      <w:pPr>
        <w:spacing w:after="100"/>
      </w:pPr>
      <w:r>
        <w:rPr>
          <w:rFonts w:ascii="Arial" w:cs="Arial" w:eastAsia="Arial" w:hAnsi="Arial"/>
          <w:color w:val="333333"/>
          <w:sz w:val="21"/>
          <w:szCs w:val="21"/>
        </w:rPr>
        <w:t xml:space="preserve">2. De directeur informeert het toezichthoudend orgaan tussentijds en zonder uitstel over ontwikkelingen die van wezenlijk belang zijn voor de stichting.</w:t>
      </w:r>
    </w:p>
    <w:p>
      <w:pPr>
        <w:spacing w:after="100"/>
      </w:pPr>
      <w:r>
        <w:rPr>
          <w:rFonts w:ascii="Arial" w:cs="Arial" w:eastAsia="Arial" w:hAnsi="Arial"/>
          <w:color w:val="333333"/>
          <w:sz w:val="21"/>
          <w:szCs w:val="21"/>
        </w:rPr>
        <w:t xml:space="preserve">3. Het toezichthoudend orgaan kan de directeur om aanvullende informatie vragen; de directeur verstrekt die binnen een redelijke termijn.</w:t>
      </w:r>
    </w:p>
    <w:p>
      <w:pPr>
        <w:spacing w:after="80" w:before="300"/>
      </w:pPr>
      <w:r>
        <w:rPr>
          <w:rFonts w:ascii="Arial" w:cs="Arial" w:eastAsia="Arial" w:hAnsi="Arial"/>
          <w:b/>
          <w:bCs/>
          <w:color w:val="1B6F7A"/>
          <w:sz w:val="23"/>
          <w:szCs w:val="23"/>
        </w:rPr>
        <w:t xml:space="preserve">Artikel 8. Afwezigheid en waarneming</w:t>
      </w:r>
    </w:p>
    <w:p>
      <w:pPr>
        <w:spacing w:after="100"/>
      </w:pPr>
      <w:r>
        <w:rPr>
          <w:rFonts w:ascii="Arial" w:cs="Arial" w:eastAsia="Arial" w:hAnsi="Arial"/>
          <w:color w:val="333333"/>
          <w:sz w:val="21"/>
          <w:szCs w:val="21"/>
        </w:rPr>
        <w:t xml:space="preserve">1. Bij afwezigheid van de directeur langer dan [aantal] dagen voorziet het toezichthoudend orgaan, in overleg met de directeur waar dat mogelijk is, in waarneming.</w:t>
      </w:r>
    </w:p>
    <w:p>
      <w:pPr>
        <w:spacing w:after="100"/>
      </w:pPr>
      <w:r>
        <w:rPr>
          <w:rFonts w:ascii="Arial" w:cs="Arial" w:eastAsia="Arial" w:hAnsi="Arial"/>
          <w:color w:val="333333"/>
          <w:sz w:val="21"/>
          <w:szCs w:val="21"/>
        </w:rPr>
        <w:t xml:space="preserve">2. De directeur zorgt ervoor dat de informatie die voor waarneming nodig is, zoals lopende afspraken, contactgegevens en toegang tot systemen, actueel en vindbaar is.</w:t>
      </w:r>
    </w:p>
    <w:p>
      <w:pPr>
        <w:spacing w:after="80" w:before="300"/>
      </w:pPr>
      <w:r>
        <w:rPr>
          <w:rFonts w:ascii="Arial" w:cs="Arial" w:eastAsia="Arial" w:hAnsi="Arial"/>
          <w:b/>
          <w:bCs/>
          <w:color w:val="1B6F7A"/>
          <w:sz w:val="23"/>
          <w:szCs w:val="23"/>
        </w:rPr>
        <w:t xml:space="preserve">Artikel 9. Nevenfuncties en tegenstrijdig belang</w:t>
      </w:r>
    </w:p>
    <w:p>
      <w:pPr>
        <w:spacing w:after="100"/>
      </w:pPr>
      <w:r>
        <w:rPr>
          <w:rFonts w:ascii="Arial" w:cs="Arial" w:eastAsia="Arial" w:hAnsi="Arial"/>
          <w:color w:val="333333"/>
          <w:sz w:val="21"/>
          <w:szCs w:val="21"/>
        </w:rPr>
        <w:t xml:space="preserve">1. De directeur meldt nevenfuncties aan het toezichthoudend orgaan.</w:t>
      </w:r>
    </w:p>
    <w:p>
      <w:pPr>
        <w:spacing w:after="100"/>
      </w:pPr>
      <w:r>
        <w:rPr>
          <w:rFonts w:ascii="Arial" w:cs="Arial" w:eastAsia="Arial" w:hAnsi="Arial"/>
          <w:color w:val="333333"/>
          <w:sz w:val="21"/>
          <w:szCs w:val="21"/>
        </w:rPr>
        <w:t xml:space="preserve">2. Bij een mogelijk tegenstrijdig belang tussen de directeur en de stichting meldt de directeur dit direct aan het toezichthoudend orgaan en neemt de directeur niet deel aan de beraadslaging en besluitvorming over dat onderwerp.</w:t>
      </w:r>
    </w:p>
    <w:p>
      <w:pPr>
        <w:spacing w:after="80" w:before="300"/>
      </w:pPr>
      <w:r>
        <w:rPr>
          <w:rFonts w:ascii="Arial" w:cs="Arial" w:eastAsia="Arial" w:hAnsi="Arial"/>
          <w:b/>
          <w:bCs/>
          <w:color w:val="1B6F7A"/>
          <w:sz w:val="23"/>
          <w:szCs w:val="23"/>
        </w:rPr>
        <w:t xml:space="preserve">Artikel 10. Evaluatie</w:t>
      </w:r>
    </w:p>
    <w:p>
      <w:pPr>
        <w:spacing w:after="100"/>
      </w:pPr>
      <w:r>
        <w:rPr>
          <w:rFonts w:ascii="Arial" w:cs="Arial" w:eastAsia="Arial" w:hAnsi="Arial"/>
          <w:color w:val="333333"/>
          <w:sz w:val="21"/>
          <w:szCs w:val="21"/>
        </w:rPr>
        <w:t xml:space="preserve">1. Het toezichthoudend orgaan voert jaarlijks een functionerings- en evaluatiegesprek met de directeur.</w:t>
      </w:r>
    </w:p>
    <w:p>
      <w:pPr>
        <w:spacing w:after="100"/>
      </w:pPr>
      <w:r>
        <w:rPr>
          <w:rFonts w:ascii="Arial" w:cs="Arial" w:eastAsia="Arial" w:hAnsi="Arial"/>
          <w:color w:val="333333"/>
          <w:sz w:val="21"/>
          <w:szCs w:val="21"/>
        </w:rPr>
        <w:t xml:space="preserve">2. Dit reglement wordt iedere [aantal] jaar geëvalueerd en zo nodig aangepast.</w:t>
      </w:r>
    </w:p>
    <w:p>
      <w:pPr>
        <w:spacing w:after="80" w:before="300"/>
      </w:pPr>
      <w:r>
        <w:rPr>
          <w:rFonts w:ascii="Arial" w:cs="Arial" w:eastAsia="Arial" w:hAnsi="Arial"/>
          <w:b/>
          <w:bCs/>
          <w:color w:val="1B6F7A"/>
          <w:sz w:val="23"/>
          <w:szCs w:val="23"/>
        </w:rPr>
        <w:t xml:space="preserve">Artikel 11. Slotbepaling</w:t>
      </w:r>
    </w:p>
    <w:p>
      <w:pPr>
        <w:spacing w:after="100"/>
      </w:pPr>
      <w:r>
        <w:rPr>
          <w:rFonts w:ascii="Arial" w:cs="Arial" w:eastAsia="Arial" w:hAnsi="Arial"/>
          <w:color w:val="333333"/>
          <w:sz w:val="21"/>
          <w:szCs w:val="21"/>
        </w:rPr>
        <w:t xml:space="preserve">In gevallen waarin dit reglement niet voorziet, beslist het toezichthoudend orgaan, na overleg met de directeur en met inachtneming van de wet en de statuten.</w:t>
      </w:r>
    </w:p>
    <w:p>
      <w:pPr>
        <w:spacing w:after="100"/>
      </w:pPr>
      <w:r>
        <w:rPr>
          <w:rFonts w:ascii="Arial" w:cs="Arial" w:eastAsia="Arial" w:hAnsi="Arial"/>
          <w:color w:val="333333"/>
          <w:sz w:val="21"/>
          <w:szCs w:val="21"/>
        </w:rPr>
        <w:t xml:space="preserve">Aldus vastgesteld te [plaats] op [datum],</w:t>
      </w:r>
    </w:p>
    <w:p>
      <w:pPr>
        <w:spacing w:after="100"/>
      </w:pPr>
      <w:r>
        <w:rPr>
          <w:rFonts w:ascii="Arial" w:cs="Arial" w:eastAsia="Arial" w:hAnsi="Arial"/>
          <w:color w:val="333333"/>
          <w:sz w:val="21"/>
          <w:szCs w:val="21"/>
        </w:rPr>
        <w:t xml:space="preserve">namens het toezichthoudend orgaan: [naam, functie]</w:t>
      </w:r>
    </w:p>
    <w:p>
      <w:pPr>
        <w:spacing w:after="320"/>
      </w:pPr>
      <w:r>
        <w:rPr>
          <w:rFonts w:ascii="Arial" w:cs="Arial" w:eastAsia="Arial" w:hAnsi="Arial"/>
          <w:color w:val="333333"/>
          <w:sz w:val="21"/>
          <w:szCs w:val="21"/>
        </w:rPr>
        <w:t xml:space="preserve">voor gezien, de directeur: [naam]</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Dit voorbeeld is een hulpmiddel en vervangt geen juridisch advies: laat statuten en reglementen altijd controleren door een notaris of jurist voordat je ze vaststelt.</w:t>
            </w:r>
          </w:p>
          <w:p>
            <w:r>
              <w:rPr>
                <w:rFonts w:ascii="Arial" w:cs="Arial" w:eastAsia="Arial" w:hAnsi="Arial"/>
                <w:b/>
                <w:bCs/>
                <w:color w:val="1B6F7A"/>
                <w:sz w:val="21"/>
                <w:szCs w:val="21"/>
              </w:rPr>
              <w:t xml:space="preserve">Dit is hoofdstuk 9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dierenadviespunt.nl/bestuursmodellen</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2026-07-16T17:52:58.376Z</dcterms:created>
  <dcterms:modified xsi:type="dcterms:W3CDTF">2026-07-16T17:52:58.388Z</dcterms:modified>
</cp:coreProperties>
</file>

<file path=docProps/custom.xml><?xml version="1.0" encoding="utf-8"?>
<Properties xmlns="http://schemas.openxmlformats.org/officeDocument/2006/custom-properties" xmlns:vt="http://schemas.openxmlformats.org/officeDocument/2006/docPropsVTypes"/>
</file>